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384" w:rsidRPr="002A4E62" w:rsidRDefault="00872384" w:rsidP="00872384">
      <w:pPr>
        <w:shd w:val="clear" w:color="auto" w:fill="D9D9D9" w:themeFill="background1" w:themeFillShade="D9"/>
        <w:ind w:left="360"/>
        <w:jc w:val="both"/>
        <w:rPr>
          <w:rFonts w:cstheme="minorHAnsi"/>
          <w:b/>
          <w:sz w:val="32"/>
          <w:szCs w:val="32"/>
        </w:rPr>
      </w:pPr>
      <w:r w:rsidRPr="002A4E62">
        <w:rPr>
          <w:rFonts w:cstheme="minorHAnsi"/>
          <w:b/>
          <w:sz w:val="32"/>
          <w:szCs w:val="32"/>
        </w:rPr>
        <w:t xml:space="preserve">Learner Communication Protocol </w:t>
      </w:r>
    </w:p>
    <w:p w:rsidR="00872384" w:rsidRDefault="00872384" w:rsidP="00872384">
      <w:pPr>
        <w:ind w:left="360"/>
        <w:jc w:val="both"/>
        <w:rPr>
          <w:rFonts w:cstheme="minorHAnsi"/>
          <w:b/>
        </w:rPr>
      </w:pPr>
    </w:p>
    <w:p w:rsidR="00872384" w:rsidRDefault="00872384" w:rsidP="00872384">
      <w:pPr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Overview </w:t>
      </w:r>
    </w:p>
    <w:p w:rsidR="00872384" w:rsidRDefault="00872384" w:rsidP="00872384">
      <w:pPr>
        <w:spacing w:after="100" w:afterAutospacing="1" w:line="240" w:lineRule="auto"/>
        <w:ind w:left="360"/>
        <w:jc w:val="both"/>
        <w:rPr>
          <w:rFonts w:eastAsia="Times New Roman" w:cstheme="minorHAnsi"/>
          <w:lang w:eastAsia="en-GB"/>
        </w:rPr>
      </w:pPr>
      <w:r w:rsidRPr="0056339D">
        <w:rPr>
          <w:rFonts w:eastAsia="Times New Roman" w:cstheme="minorHAnsi"/>
          <w:lang w:eastAsia="en-GB"/>
        </w:rPr>
        <w:t xml:space="preserve">The following Learner Communication Protocol </w:t>
      </w:r>
      <w:r>
        <w:rPr>
          <w:rFonts w:eastAsia="Times New Roman" w:cstheme="minorHAnsi"/>
          <w:lang w:eastAsia="en-GB"/>
        </w:rPr>
        <w:t>provides a template</w:t>
      </w:r>
      <w:r w:rsidRPr="0056339D">
        <w:rPr>
          <w:rFonts w:eastAsia="Times New Roman" w:cstheme="minorHAnsi"/>
          <w:lang w:eastAsia="en-GB"/>
        </w:rPr>
        <w:t xml:space="preserve"> for what you, as learners, can expect in terms of communication with your tutors. The protocol sets out the preferred communication channels for your course, the ti</w:t>
      </w:r>
      <w:r>
        <w:rPr>
          <w:rFonts w:eastAsia="Times New Roman" w:cstheme="minorHAnsi"/>
          <w:lang w:eastAsia="en-GB"/>
        </w:rPr>
        <w:t>m</w:t>
      </w:r>
      <w:r w:rsidRPr="0056339D">
        <w:rPr>
          <w:rFonts w:eastAsia="Times New Roman" w:cstheme="minorHAnsi"/>
          <w:lang w:eastAsia="en-GB"/>
        </w:rPr>
        <w:t>es during which staff will be available to respond to your query, how quickly they will respond and in what circumstances staff can be contacted out of the designated hours.</w:t>
      </w:r>
    </w:p>
    <w:p w:rsidR="00872384" w:rsidRDefault="00872384" w:rsidP="00872384">
      <w:pPr>
        <w:spacing w:after="100" w:afterAutospacing="1" w:line="240" w:lineRule="auto"/>
        <w:ind w:left="360"/>
        <w:jc w:val="both"/>
        <w:rPr>
          <w:rFonts w:eastAsia="Times New Roman" w:cstheme="minorHAnsi"/>
          <w:lang w:eastAsia="en-GB"/>
        </w:rPr>
      </w:pPr>
    </w:p>
    <w:p w:rsidR="00872384" w:rsidRPr="0056339D" w:rsidRDefault="00872384" w:rsidP="00872384">
      <w:pPr>
        <w:spacing w:after="100" w:afterAutospacing="1" w:line="240" w:lineRule="auto"/>
        <w:ind w:left="360"/>
        <w:jc w:val="both"/>
        <w:rPr>
          <w:rFonts w:eastAsia="Times New Roman" w:cstheme="minorHAnsi"/>
          <w:lang w:eastAsia="en-GB"/>
        </w:rPr>
      </w:pPr>
      <w:r>
        <w:rPr>
          <w:rFonts w:eastAsia="Times New Roman" w:cstheme="minorHAnsi"/>
          <w:lang w:eastAsia="en-GB"/>
        </w:rPr>
        <w:t xml:space="preserve">Your course tutor will go through this with you during your induction at college </w:t>
      </w:r>
    </w:p>
    <w:p w:rsidR="00872384" w:rsidRDefault="00872384" w:rsidP="00872384">
      <w:pPr>
        <w:jc w:val="both"/>
        <w:rPr>
          <w:rFonts w:cstheme="minorHAnsi"/>
          <w:b/>
        </w:rPr>
      </w:pPr>
    </w:p>
    <w:p w:rsidR="00872384" w:rsidRDefault="00872384" w:rsidP="00872384">
      <w:pPr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Course Title: </w:t>
      </w:r>
    </w:p>
    <w:p w:rsidR="00872384" w:rsidRDefault="00872384" w:rsidP="00872384">
      <w:pPr>
        <w:ind w:left="36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Tutors: </w:t>
      </w:r>
    </w:p>
    <w:p w:rsidR="00872384" w:rsidRDefault="00872384" w:rsidP="00872384">
      <w:pPr>
        <w:ind w:left="360"/>
        <w:jc w:val="both"/>
        <w:rPr>
          <w:rFonts w:cstheme="minorHAnsi"/>
          <w:b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2018"/>
        <w:gridCol w:w="1176"/>
        <w:gridCol w:w="3266"/>
        <w:gridCol w:w="2196"/>
      </w:tblGrid>
      <w:tr w:rsidR="00872384" w:rsidTr="00042A98">
        <w:tc>
          <w:tcPr>
            <w:tcW w:w="3194" w:type="dxa"/>
            <w:gridSpan w:val="2"/>
          </w:tcPr>
          <w:p w:rsidR="00872384" w:rsidRDefault="00872384" w:rsidP="00042A9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Preferred Methods of Communication: </w:t>
            </w:r>
          </w:p>
        </w:tc>
        <w:tc>
          <w:tcPr>
            <w:tcW w:w="3266" w:type="dxa"/>
          </w:tcPr>
          <w:p w:rsidR="00872384" w:rsidRDefault="00872384" w:rsidP="00042A9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Times available for staff to respond </w:t>
            </w:r>
          </w:p>
        </w:tc>
        <w:tc>
          <w:tcPr>
            <w:tcW w:w="2196" w:type="dxa"/>
          </w:tcPr>
          <w:p w:rsidR="00872384" w:rsidRDefault="00872384" w:rsidP="00042A9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Expected response time from tutor </w:t>
            </w:r>
          </w:p>
        </w:tc>
      </w:tr>
      <w:tr w:rsidR="00872384" w:rsidTr="00042A98">
        <w:tc>
          <w:tcPr>
            <w:tcW w:w="2018" w:type="dxa"/>
          </w:tcPr>
          <w:p w:rsidR="00872384" w:rsidRDefault="00872384" w:rsidP="00042A98">
            <w:pPr>
              <w:jc w:val="both"/>
              <w:rPr>
                <w:rFonts w:cstheme="minorHAnsi"/>
                <w:b/>
              </w:rPr>
            </w:pPr>
          </w:p>
          <w:p w:rsidR="00872384" w:rsidRDefault="00872384" w:rsidP="00042A9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Assignment help and questions </w:t>
            </w:r>
          </w:p>
        </w:tc>
        <w:tc>
          <w:tcPr>
            <w:tcW w:w="1176" w:type="dxa"/>
          </w:tcPr>
          <w:p w:rsidR="00872384" w:rsidRDefault="00872384" w:rsidP="00042A98">
            <w:pPr>
              <w:jc w:val="both"/>
              <w:rPr>
                <w:rFonts w:cstheme="minorHAnsi"/>
                <w:b/>
              </w:rPr>
            </w:pPr>
          </w:p>
          <w:p w:rsidR="00872384" w:rsidRDefault="00872384" w:rsidP="00042A9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Teams </w:t>
            </w:r>
          </w:p>
        </w:tc>
        <w:tc>
          <w:tcPr>
            <w:tcW w:w="3266" w:type="dxa"/>
          </w:tcPr>
          <w:p w:rsidR="00872384" w:rsidRDefault="00872384" w:rsidP="00042A98">
            <w:pPr>
              <w:jc w:val="both"/>
              <w:rPr>
                <w:rFonts w:cstheme="minorHAnsi"/>
                <w:b/>
              </w:rPr>
            </w:pPr>
          </w:p>
        </w:tc>
        <w:tc>
          <w:tcPr>
            <w:tcW w:w="2196" w:type="dxa"/>
          </w:tcPr>
          <w:p w:rsidR="00872384" w:rsidRPr="0090317A" w:rsidRDefault="00872384" w:rsidP="00042A98">
            <w:pPr>
              <w:spacing w:before="100" w:beforeAutospacing="1" w:after="100" w:afterAutospacing="1"/>
              <w:rPr>
                <w:rFonts w:eastAsia="Times New Roman" w:cstheme="minorHAnsi"/>
                <w:color w:val="0A0A0A"/>
                <w:lang w:eastAsia="en-GB"/>
              </w:rPr>
            </w:pPr>
          </w:p>
        </w:tc>
      </w:tr>
      <w:tr w:rsidR="00872384" w:rsidTr="00042A98">
        <w:tc>
          <w:tcPr>
            <w:tcW w:w="2018" w:type="dxa"/>
          </w:tcPr>
          <w:p w:rsidR="00872384" w:rsidRDefault="00872384" w:rsidP="00042A9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Course queries  </w:t>
            </w:r>
          </w:p>
        </w:tc>
        <w:tc>
          <w:tcPr>
            <w:tcW w:w="1176" w:type="dxa"/>
          </w:tcPr>
          <w:p w:rsidR="00872384" w:rsidRDefault="00872384" w:rsidP="00042A9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Teams </w:t>
            </w:r>
          </w:p>
        </w:tc>
        <w:tc>
          <w:tcPr>
            <w:tcW w:w="3266" w:type="dxa"/>
          </w:tcPr>
          <w:p w:rsidR="00872384" w:rsidRPr="0090317A" w:rsidRDefault="00872384" w:rsidP="00042A98">
            <w:pPr>
              <w:spacing w:before="100" w:beforeAutospacing="1" w:after="100" w:afterAutospacing="1"/>
              <w:rPr>
                <w:rFonts w:eastAsia="Times New Roman" w:cstheme="minorHAnsi"/>
                <w:color w:val="0A0A0A"/>
                <w:lang w:eastAsia="en-GB"/>
              </w:rPr>
            </w:pPr>
          </w:p>
        </w:tc>
        <w:tc>
          <w:tcPr>
            <w:tcW w:w="2196" w:type="dxa"/>
          </w:tcPr>
          <w:p w:rsidR="00872384" w:rsidRPr="0090317A" w:rsidRDefault="00872384" w:rsidP="00042A98">
            <w:pPr>
              <w:spacing w:before="100" w:beforeAutospacing="1" w:after="100" w:afterAutospacing="1"/>
              <w:rPr>
                <w:rFonts w:eastAsia="Times New Roman" w:cstheme="minorHAnsi"/>
                <w:color w:val="0A0A0A"/>
                <w:lang w:eastAsia="en-GB"/>
              </w:rPr>
            </w:pPr>
          </w:p>
        </w:tc>
      </w:tr>
      <w:tr w:rsidR="00872384" w:rsidTr="00042A98">
        <w:tc>
          <w:tcPr>
            <w:tcW w:w="2018" w:type="dxa"/>
          </w:tcPr>
          <w:p w:rsidR="00872384" w:rsidRDefault="00872384" w:rsidP="00042A9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Urgent issues or queries  </w:t>
            </w:r>
          </w:p>
        </w:tc>
        <w:tc>
          <w:tcPr>
            <w:tcW w:w="1176" w:type="dxa"/>
          </w:tcPr>
          <w:p w:rsidR="00872384" w:rsidRDefault="00872384" w:rsidP="00042A98">
            <w:pPr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Email </w:t>
            </w:r>
          </w:p>
        </w:tc>
        <w:tc>
          <w:tcPr>
            <w:tcW w:w="3266" w:type="dxa"/>
          </w:tcPr>
          <w:p w:rsidR="00872384" w:rsidRDefault="00872384" w:rsidP="00042A98">
            <w:pPr>
              <w:spacing w:before="100" w:beforeAutospacing="1" w:after="100" w:afterAutospacing="1"/>
              <w:rPr>
                <w:rFonts w:cstheme="minorHAnsi"/>
                <w:b/>
              </w:rPr>
            </w:pPr>
          </w:p>
        </w:tc>
        <w:tc>
          <w:tcPr>
            <w:tcW w:w="2196" w:type="dxa"/>
          </w:tcPr>
          <w:p w:rsidR="00872384" w:rsidRPr="0056339D" w:rsidRDefault="00872384" w:rsidP="00042A98">
            <w:pPr>
              <w:jc w:val="both"/>
              <w:rPr>
                <w:rFonts w:cstheme="minorHAnsi"/>
                <w:bCs/>
              </w:rPr>
            </w:pPr>
          </w:p>
        </w:tc>
      </w:tr>
    </w:tbl>
    <w:p w:rsidR="00872384" w:rsidRDefault="00872384" w:rsidP="00872384">
      <w:pPr>
        <w:ind w:left="360"/>
        <w:jc w:val="both"/>
        <w:rPr>
          <w:rFonts w:cstheme="minorHAnsi"/>
          <w:b/>
        </w:rPr>
      </w:pPr>
    </w:p>
    <w:p w:rsidR="00872384" w:rsidRDefault="00872384" w:rsidP="00872384">
      <w:pPr>
        <w:rPr>
          <w:b/>
          <w:sz w:val="24"/>
          <w:szCs w:val="24"/>
        </w:rPr>
      </w:pPr>
    </w:p>
    <w:p w:rsidR="006A037F" w:rsidRDefault="006A037F" w:rsidP="00872384">
      <w:bookmarkStart w:id="0" w:name="_GoBack"/>
      <w:bookmarkEnd w:id="0"/>
    </w:p>
    <w:sectPr w:rsidR="006A037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384"/>
    <w:rsid w:val="006A037F"/>
    <w:rsid w:val="0087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5D40A"/>
  <w15:chartTrackingRefBased/>
  <w15:docId w15:val="{5A700EC5-8BFD-4F62-9EAA-8C5642949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723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College Merthyr Tydfil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Leanne Jones</dc:creator>
  <cp:keywords/>
  <dc:description/>
  <cp:lastModifiedBy>Leanne Jones</cp:lastModifiedBy>
  <cp:revision>1</cp:revision>
  <dcterms:created xsi:type="dcterms:W3CDTF">2021-08-20T13:49:00Z</dcterms:created>
  <dcterms:modified xsi:type="dcterms:W3CDTF">2021-08-20T13:50:00Z</dcterms:modified>
</cp:coreProperties>
</file>